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notes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3951" w:leader="none"/>
        </w:tabs>
        <w:spacing w:lineRule="auto" w:line="240" w:before="60" w:after="0"/>
        <w:ind w:hanging="0" w:left="0" w:right="0"/>
        <w:jc w:val="center"/>
        <w:rPr>
          <w:b/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I – FORMULÁRIO DA PROPOSTA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2"/>
        <w:tblW w:w="9778" w:type="dxa"/>
        <w:jc w:val="left"/>
        <w:tblInd w:w="-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778"/>
      </w:tblGrid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8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TÍTULO DO CURSO MICROCREDENCIAL: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8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8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Docente Responsável: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Demais docentes envolvidos (com </w:t>
            </w:r>
            <w:r>
              <w:rPr>
                <w:rFonts w:eastAsia="Times New Roman" w:cs="Times New Roman"/>
                <w:b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link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para o Lattes) – se for o caso: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Profissionais convidados – se for o caso: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Destinado </w:t>
            </w:r>
            <w:r>
              <w:rPr>
                <w:b/>
              </w:rPr>
              <w:t>a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: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(   ) Comunidade em geral          (   ) Servidores públicos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/>
            </w:pPr>
            <w:r>
              <w:rPr>
                <w:b/>
              </w:rPr>
              <w:t>Nível do curso:</w:t>
            </w:r>
            <w:r>
              <w:rPr/>
              <w:t xml:space="preserve">    (  ) Básico     (  ) Intermediário     (  ) Avançado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Carga-horária total: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(  ) 20 horas          (   ) 30 horas          (   ) 40 horas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b/>
              </w:rPr>
            </w:pPr>
            <w:r>
              <w:rPr>
                <w:b/>
              </w:rPr>
              <w:t xml:space="preserve">Sugestão de mês para o início/disponibilização do curso na plataforma digital (entre fevereiro e outubro/2026):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Público-alvo: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(Ex: professores, servidores municipais, profissionais que atuam na área administrativa, engenheiros, etc.)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Possui pré-requisito? Em caso afirmativo, indique: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(Ex: Nível Médio, Curso Técnico em Enfermagem, Engenharia, etc.)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b/>
              </w:rPr>
            </w:pPr>
            <w:r>
              <w:rPr>
                <w:b/>
              </w:rPr>
              <w:t>Área:</w:t>
            </w:r>
          </w:p>
          <w:p>
            <w:pPr>
              <w:pStyle w:val="normal1"/>
              <w:spacing w:lineRule="auto" w:line="240" w:before="60" w:after="0"/>
              <w:jc w:val="both"/>
              <w:rPr/>
            </w:pPr>
            <w:r>
              <w:rPr/>
              <w:t>( ) Educação e Formação Continuada</w:t>
            </w:r>
          </w:p>
          <w:p>
            <w:pPr>
              <w:pStyle w:val="normal1"/>
              <w:spacing w:lineRule="auto" w:line="240" w:before="60" w:after="0"/>
              <w:jc w:val="both"/>
              <w:rPr/>
            </w:pPr>
            <w:r>
              <w:rPr/>
              <w:t>( ) Gestão Pública e Inovação</w:t>
            </w:r>
          </w:p>
          <w:p>
            <w:pPr>
              <w:pStyle w:val="normal1"/>
              <w:spacing w:lineRule="auto" w:line="240" w:before="60" w:after="0"/>
              <w:jc w:val="both"/>
              <w:rPr/>
            </w:pPr>
            <w:r>
              <w:rPr/>
              <w:t>( ) Tecnologia e Transformação Digital</w:t>
            </w:r>
          </w:p>
          <w:p>
            <w:pPr>
              <w:pStyle w:val="normal1"/>
              <w:spacing w:lineRule="auto" w:line="240" w:before="60" w:after="0"/>
              <w:jc w:val="both"/>
              <w:rPr/>
            </w:pPr>
            <w:r>
              <w:rPr/>
              <w:t>( ) Empreendedorismo e Desenvolvimento Econômico</w:t>
            </w:r>
          </w:p>
          <w:p>
            <w:pPr>
              <w:pStyle w:val="normal1"/>
              <w:spacing w:lineRule="auto" w:line="240" w:before="60" w:after="0"/>
              <w:jc w:val="both"/>
              <w:rPr/>
            </w:pPr>
            <w:r>
              <w:rPr/>
              <w:t>( ) Saúde e Bem-Estar</w:t>
            </w:r>
          </w:p>
          <w:p>
            <w:pPr>
              <w:pStyle w:val="normal1"/>
              <w:spacing w:lineRule="auto" w:line="240" w:before="60" w:after="0"/>
              <w:jc w:val="both"/>
              <w:rPr/>
            </w:pPr>
            <w:r>
              <w:rPr/>
              <w:t>( ) Outra (especificar):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Objetivos de Desenvolvimento Sustentável – ODS</w:t>
            </w:r>
            <w:r>
              <w:rPr>
                <w:rStyle w:val="FootnoteReference"/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u w:val="none"/>
                <w:shd w:fill="auto" w:val="clear"/>
                <w:vertAlign w:val="superscript"/>
              </w:rPr>
              <w:footnoteReference w:id="2"/>
            </w:r>
            <w:r>
              <w:rPr>
                <w:b/>
              </w:rPr>
              <w:t xml:space="preserve">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b/>
                <w:highlight w:val="yellow"/>
              </w:rPr>
            </w:pPr>
            <w:r>
              <w:rPr>
                <w:b/>
              </w:rPr>
              <w:t>Eixos e Desafios da PECTI</w:t>
            </w:r>
            <w:r>
              <w:rPr>
                <w:rStyle w:val="FootnoteReference"/>
                <w:vertAlign w:val="superscript"/>
              </w:rPr>
              <w:footnoteReference w:id="3"/>
            </w:r>
            <w:r>
              <w:rPr/>
              <w:t xml:space="preserve">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b/>
              </w:rPr>
            </w:pPr>
            <w:r>
              <w:rPr>
                <w:b/>
              </w:rPr>
              <w:t>Relevância do projeto para o desenvolvimento regional e/ou a modernização da gestão pública: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Justificativa da demanda para o mundo do trabalho, considerando o contexto paranaense: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Construir a justificativa pautada em: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- Demandas </w:t>
            </w:r>
            <w:r>
              <w:rPr/>
              <w:t>levantadas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 pela PROEC e Coordenação Instituci</w:t>
            </w:r>
            <w:r>
              <w:rPr/>
              <w:t>onal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*;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- Rotas Estratégicas de CT &amp; I – Paraná 2040 – Ecossistema de CT&amp;I Centro-Sul da Fundação Araucária*;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- Temas propostos pela SETI na E</w:t>
            </w:r>
            <w:r>
              <w:rPr/>
              <w:t>G nº 004/2025*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;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- Demanda formulada pelo proponente (indispensável descrever método utilizado para construção da demanda e apresentar os dados levantados).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/>
            </w:pPr>
            <w:r>
              <w:rPr/>
              <w:t>* Relacionados no Anexo III deste Edital.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Estratégias para divulgação e captação de participantes: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Objetivos do curso: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60" w:after="0"/>
              <w:rPr/>
            </w:pPr>
            <w:r>
              <w:rPr>
                <w:b/>
              </w:rPr>
              <w:t>Conteúdo programático (separado em unidades ou módulos):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Proposta metodológica: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Aulas remotas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vertAlign w:val="baseline"/>
              </w:rPr>
              <w:t xml:space="preserve"> (quantidade/duração),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vídeos gravados (quantidade/duração), </w:t>
            </w: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slides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 xml:space="preserve">, textos autorais e/ou </w:t>
            </w:r>
            <w:r>
              <w:rPr>
                <w:rFonts w:eastAsia="Times New Roman" w:cs="Times New Roman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pocket books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, indicação de endereços eletrônicos ou páginas/vídeos complementares, glossário, exercícios (indicar possibilidades), produções, apresentações, etc.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singl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single"/>
                <w:shd w:fill="auto" w:val="clear"/>
                <w:vertAlign w:val="baseline"/>
              </w:rPr>
              <w:t>Indicar possíveis estratégias a serem utilizadas para relacionar o conteúdo trabalhado com a realidade profissional.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Competências/habilidades a serem desenvolvidas pelos cursistas (3 a 5):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Procedimentos de avaliação: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- O que o aluno deve realizar para que se considerem desenvolvidas as competências/habilidades propostas.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- Sugere-se que a avaliação contemple atividades construtivas</w:t>
            </w:r>
            <w:r>
              <w:rPr/>
              <w:t>/interativas com feedback para os participantes.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/>
            </w:pPr>
            <w:r>
              <w:rPr/>
              <w:t>- Deve-se considerar a avaliação automatizada devido à necessidade de reoferta dos cursos na plataforma.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Critérios para certificação: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(Ex: percentual de atividades concluídas, notas mínimas obtidas nas atividades, entrega e aprovação em atividade final, etc.)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Articula-se a outro curso microcredencial proposto (formação de trilha de aprendizagem)? Em caso afirmativo, indicar título e docente proponente.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  <w:t>Existem cursos EAD similares disponíveis? Se sim, qual o diferencial de sua proposta?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134" w:right="1134" w:gutter="0" w:header="284" w:top="1326" w:footer="305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0" w:after="0"/>
      <w:ind w:hanging="0" w:left="57" w:right="57"/>
      <w:jc w:val="righ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6057900</wp:posOffset>
              </wp:positionH>
              <wp:positionV relativeFrom="paragraph">
                <wp:posOffset>9766300</wp:posOffset>
              </wp:positionV>
              <wp:extent cx="857250" cy="678180"/>
              <wp:effectExtent l="0" t="0" r="0" b="0"/>
              <wp:wrapNone/>
              <wp:docPr id="3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160" cy="67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8"/>
                              <w:sz w:val="28"/>
                              <w:vertAlign w:val="baseline"/>
                            </w:rPr>
                            <w:t xml:space="preserve">   </w:t>
                            <w:fldChar w:fldCharType="begin"/>
                          </w:r>
                          <w:r>
                            <w:rPr>
                              <w:smallCaps w:val="false"/>
                              <w:caps w:val="false"/>
                              <w:dstrike w:val="false"/>
                              <w:strike w:val="false"/>
                              <w:vertAlign w:val="baseline"/>
                              <w:position w:val="0"/>
                              <w:sz w:val="28"/>
                              <w:sz w:val="28"/>
                              <w:i w:val="false"/>
                              <w:b w:val="false"/>
                              <w:rFonts w:eastAsia="Arial" w:cs="Arial" w:ascii="Arial" w:hAnsi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mallCaps w:val="false"/>
                              <w:caps w:val="false"/>
                              <w:dstrike w:val="false"/>
                              <w:strike w:val="false"/>
                              <w:vertAlign w:val="baseline"/>
                              <w:position w:val="0"/>
                              <w:sz w:val="28"/>
                              <w:sz w:val="28"/>
                              <w:i w:val="false"/>
                              <w:b w:val="false"/>
                              <w:rFonts w:eastAsia="Arial" w:cs="Arial" w:ascii="Arial" w:hAnsi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mallCaps w:val="false"/>
                              <w:caps w:val="false"/>
                              <w:dstrike w:val="false"/>
                              <w:strike w:val="false"/>
                              <w:vertAlign w:val="baseline"/>
                              <w:position w:val="0"/>
                              <w:sz w:val="28"/>
                              <w:sz w:val="28"/>
                              <w:i w:val="false"/>
                              <w:b w:val="false"/>
                              <w:rFonts w:eastAsia="Arial" w:cs="Arial" w:ascii="Arial" w:hAnsi="Arial"/>
                              <w:color w:val="000000"/>
                            </w:rPr>
                            <w:t>1</w:t>
                          </w:r>
                          <w:r>
                            <w:rPr>
                              <w:smallCaps w:val="false"/>
                              <w:caps w:val="false"/>
                              <w:dstrike w:val="false"/>
                              <w:strike w:val="false"/>
                              <w:vertAlign w:val="baseline"/>
                              <w:position w:val="0"/>
                              <w:sz w:val="28"/>
                              <w:sz w:val="28"/>
                              <w:i w:val="false"/>
                              <w:b w:val="false"/>
                              <w:rFonts w:eastAsia="Arial" w:cs="Arial" w:ascii="Arial" w:hAnsi="Arial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8"/>
                              <w:sz w:val="28"/>
                              <w:vertAlign w:val="baseline"/>
                            </w:rPr>
                            <w:t xml:space="preserve">PAGE 8PAGE 10PAGE  \* MERGEFORMAT </w:t>
                          </w:r>
                          <w:r>
                            <w:rPr>
                              <w:rFonts w:eastAsia="Cambria" w:cs="Cambria" w:ascii="Cambria" w:hAnsi="Cambria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8"/>
                              <w:sz w:val="28"/>
                              <w:vertAlign w:val="baseline"/>
                            </w:rPr>
                            <w:t>4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477pt;margin-top:769pt;width:67.45pt;height:53.3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8"/>
                        <w:sz w:val="28"/>
                        <w:vertAlign w:val="baseline"/>
                      </w:rPr>
                      <w:t xml:space="preserve">  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8"/>
                        <w:sz w:val="28"/>
                        <w:vertAlign w:val="baseline"/>
                      </w:rPr>
                      <w:t xml:space="preserve">PAGE 8PAGE 10PAGE  \* MERGEFORMAT </w:t>
                    </w:r>
                    <w:r>
                      <w:rPr>
                        <w:rFonts w:eastAsia="Cambria" w:cs="Cambria" w:ascii="Cambria" w:hAnsi="Cambria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8"/>
                        <w:sz w:val="28"/>
                        <w:vertAlign w:val="baseline"/>
                      </w:rPr>
                      <w:t>4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0" w:after="0"/>
      <w:ind w:hanging="0" w:left="57" w:right="57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www.unicentro.br</w:t>
    </w:r>
  </w:p>
  <w:p>
    <w:pPr>
      <w:pStyle w:val="normal1"/>
      <w:keepNext w:val="false"/>
      <w:keepLines w:val="false"/>
      <w:widowControl/>
      <w:pBdr/>
      <w:shd w:val="clear" w:fill="auto"/>
      <w:spacing w:lineRule="auto" w:line="240" w:before="28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Santa Cruz: 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Rua Padre Salvador, 875 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 xml:space="preserve">– 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Fone: (42) 3621-1000 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>–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CEP 85.015-430 – GUARAPUAVA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 xml:space="preserve"> 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  <w:t xml:space="preserve">– 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PR</w:t>
    </w:r>
  </w:p>
  <w:p>
    <w:pPr>
      <w:pStyle w:val="normal1"/>
      <w:keepNext w:val="false"/>
      <w:keepLines w:val="false"/>
      <w:widowControl/>
      <w:pBdr/>
      <w:shd w:val="clear" w:fill="auto"/>
      <w:spacing w:lineRule="auto" w:line="240" w:before="28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Cedeteg: 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Alameda Élio Antonio Dalla Vecchia, 838 – Fone: (42) 3629-8100 – CEP 85.040-167 – GUARAPUAVA – PR</w:t>
    </w:r>
  </w:p>
  <w:p>
    <w:pPr>
      <w:pStyle w:val="normal1"/>
      <w:keepNext w:val="false"/>
      <w:keepLines w:val="false"/>
      <w:widowControl/>
      <w:pBdr/>
      <w:shd w:val="clear" w:fill="auto"/>
      <w:spacing w:lineRule="auto" w:line="240" w:before="28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de Irati: 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Rua Professora Maria Roza Zanon de Almeida s/n – Fone: (42) 3421-3000 – FAX: (42) 3421-3067 – CEP 84.500-000 – IRATI – PR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0" w:after="0"/>
      <w:ind w:hanging="0" w:left="57" w:right="57"/>
      <w:jc w:val="righ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6057900</wp:posOffset>
              </wp:positionH>
              <wp:positionV relativeFrom="paragraph">
                <wp:posOffset>9766300</wp:posOffset>
              </wp:positionV>
              <wp:extent cx="857250" cy="678180"/>
              <wp:effectExtent l="0" t="0" r="0" b="0"/>
              <wp:wrapNone/>
              <wp:docPr id="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160" cy="67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8"/>
                              <w:sz w:val="28"/>
                              <w:vertAlign w:val="baseline"/>
                            </w:rPr>
                            <w:t xml:space="preserve">   </w:t>
                            <w:fldChar w:fldCharType="begin"/>
                          </w:r>
                          <w:r>
                            <w:rPr>
                              <w:smallCaps w:val="false"/>
                              <w:caps w:val="false"/>
                              <w:dstrike w:val="false"/>
                              <w:strike w:val="false"/>
                              <w:vertAlign w:val="baseline"/>
                              <w:position w:val="0"/>
                              <w:sz w:val="28"/>
                              <w:sz w:val="28"/>
                              <w:i w:val="false"/>
                              <w:b w:val="false"/>
                              <w:rFonts w:eastAsia="Arial" w:cs="Arial" w:ascii="Arial" w:hAnsi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mallCaps w:val="false"/>
                              <w:caps w:val="false"/>
                              <w:dstrike w:val="false"/>
                              <w:strike w:val="false"/>
                              <w:vertAlign w:val="baseline"/>
                              <w:position w:val="0"/>
                              <w:sz w:val="28"/>
                              <w:sz w:val="28"/>
                              <w:i w:val="false"/>
                              <w:b w:val="false"/>
                              <w:rFonts w:eastAsia="Arial" w:cs="Arial" w:ascii="Arial" w:hAnsi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mallCaps w:val="false"/>
                              <w:caps w:val="false"/>
                              <w:dstrike w:val="false"/>
                              <w:strike w:val="false"/>
                              <w:vertAlign w:val="baseline"/>
                              <w:position w:val="0"/>
                              <w:sz w:val="28"/>
                              <w:sz w:val="28"/>
                              <w:i w:val="false"/>
                              <w:b w:val="false"/>
                              <w:rFonts w:eastAsia="Arial" w:cs="Arial" w:ascii="Arial" w:hAnsi="Arial"/>
                              <w:color w:val="000000"/>
                            </w:rPr>
                            <w:t>1</w:t>
                          </w:r>
                          <w:r>
                            <w:rPr>
                              <w:smallCaps w:val="false"/>
                              <w:caps w:val="false"/>
                              <w:dstrike w:val="false"/>
                              <w:strike w:val="false"/>
                              <w:vertAlign w:val="baseline"/>
                              <w:position w:val="0"/>
                              <w:sz w:val="28"/>
                              <w:sz w:val="28"/>
                              <w:i w:val="false"/>
                              <w:b w:val="false"/>
                              <w:rFonts w:eastAsia="Arial" w:cs="Arial" w:ascii="Arial" w:hAnsi="Arial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8"/>
                              <w:sz w:val="28"/>
                              <w:vertAlign w:val="baseline"/>
                            </w:rPr>
                            <w:t xml:space="preserve">PAGE 8PAGE 10PAGE  \* MERGEFORMAT </w:t>
                          </w:r>
                          <w:r>
                            <w:rPr>
                              <w:rFonts w:eastAsia="Cambria" w:cs="Cambria" w:ascii="Cambria" w:hAnsi="Cambria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8"/>
                              <w:sz w:val="28"/>
                              <w:vertAlign w:val="baseline"/>
                            </w:rPr>
                            <w:t>4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477pt;margin-top:769pt;width:67.45pt;height:53.3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8"/>
                        <w:sz w:val="28"/>
                        <w:vertAlign w:val="baseline"/>
                      </w:rPr>
                      <w:t xml:space="preserve">  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8"/>
                        <w:sz w:val="28"/>
                        <w:vertAlign w:val="baseline"/>
                      </w:rPr>
                      <w:t xml:space="preserve">PAGE 8PAGE 10PAGE  \* MERGEFORMAT </w:t>
                    </w:r>
                    <w:r>
                      <w:rPr>
                        <w:rFonts w:eastAsia="Cambria" w:cs="Cambria" w:ascii="Cambria" w:hAnsi="Cambria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8"/>
                        <w:sz w:val="28"/>
                        <w:vertAlign w:val="baseline"/>
                      </w:rPr>
                      <w:t>4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0" w:after="0"/>
      <w:ind w:hanging="0" w:left="57" w:right="57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www.unicentro.br</w:t>
    </w:r>
  </w:p>
  <w:p>
    <w:pPr>
      <w:pStyle w:val="normal1"/>
      <w:keepNext w:val="false"/>
      <w:keepLines w:val="false"/>
      <w:widowControl/>
      <w:pBdr/>
      <w:shd w:val="clear" w:fill="auto"/>
      <w:spacing w:lineRule="auto" w:line="240" w:before="28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Santa Cruz: 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Rua Padre Salvador, 875 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 xml:space="preserve">– 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Fone: (42) 3621-1000 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>–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CEP 85.015-430 – GUARAPUAVA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 xml:space="preserve"> 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  <w:t xml:space="preserve">– 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PR</w:t>
    </w:r>
  </w:p>
  <w:p>
    <w:pPr>
      <w:pStyle w:val="normal1"/>
      <w:keepNext w:val="false"/>
      <w:keepLines w:val="false"/>
      <w:widowControl/>
      <w:pBdr/>
      <w:shd w:val="clear" w:fill="auto"/>
      <w:spacing w:lineRule="auto" w:line="240" w:before="28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Cedeteg: 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Alameda Élio Antonio Dalla Vecchia, 838 – Fone: (42) 3629-8100 – CEP 85.040-167 – GUARAPUAVA – PR</w:t>
    </w:r>
  </w:p>
  <w:p>
    <w:pPr>
      <w:pStyle w:val="normal1"/>
      <w:keepNext w:val="false"/>
      <w:keepLines w:val="false"/>
      <w:widowControl/>
      <w:pBdr/>
      <w:shd w:val="clear" w:fill="auto"/>
      <w:spacing w:lineRule="auto" w:line="240" w:before="28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de Irati: 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Rua Professora Maria Roza Zanon de Almeida s/n – Fone: (42) 3421-3000 – FAX: (42) 3421-3067 – CEP 84.500-000 – IRATI – PR 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/>
    </w:p>
  </w:footnote>
  <w:footnote w:id="1" w:type="continuationSeparator">
    <w:p>
      <w:r/>
    </w:p>
  </w:footnote>
  <w:footnote w:id="2">
    <w:p>
      <w:pPr>
        <w:pStyle w:val="normal1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hyperlink r:id="rId1">
        <w:r>
          <w:rPr>
            <w:rStyle w:val="Hyperlink"/>
            <w:color w:val="1155CC"/>
            <w:sz w:val="20"/>
            <w:szCs w:val="20"/>
            <w:u w:val="single"/>
          </w:rPr>
          <w:t>https://brasil.un.org/pt-br/sdgs</w:t>
        </w:r>
      </w:hyperlink>
      <w:r>
        <w:rPr>
          <w:sz w:val="20"/>
          <w:szCs w:val="20"/>
        </w:rPr>
        <w:t xml:space="preserve"> </w:t>
      </w:r>
    </w:p>
  </w:footnote>
  <w:footnote w:id="3">
    <w:p>
      <w:pPr>
        <w:pStyle w:val="normal1"/>
        <w:rPr/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hyperlink r:id="rId2">
        <w:r>
          <w:rPr>
            <w:rStyle w:val="Hyperlink"/>
            <w:color w:val="000080"/>
            <w:sz w:val="20"/>
            <w:szCs w:val="20"/>
            <w:u w:val="single"/>
          </w:rPr>
          <w:t>https://www.seti.pr.gov.br/sites/default/arquivos_restritos/files/documento/2024-07/politica-estadual-cti.pdf</w:t>
        </w:r>
      </w:hyperlink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40" w:after="40"/>
      <w:ind w:hanging="0" w:left="0" w:right="-851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42"/>
        <w:sz w:val="42"/>
        <w:szCs w:val="4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 </w:t>
    </w: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42"/>
        <w:sz w:val="42"/>
        <w:szCs w:val="4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212090</wp:posOffset>
          </wp:positionH>
          <wp:positionV relativeFrom="paragraph">
            <wp:posOffset>28575</wp:posOffset>
          </wp:positionV>
          <wp:extent cx="800100" cy="714375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42"/>
        <w:sz w:val="42"/>
        <w:szCs w:val="42"/>
        <w:u w:val="none"/>
        <w:shd w:fill="auto" w:val="clear"/>
        <w:vertAlign w:val="baseline"/>
      </w:rPr>
      <w:t>Universidade Estadual do Centro-Oeste</w:t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40" w:after="40"/>
      <w:ind w:hanging="0" w:left="1134" w:right="-851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40" w:after="40"/>
      <w:ind w:hanging="0" w:left="1134" w:right="-851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Reconhecida pelo Decreto Estadual nº 3.444/97 </w:t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40" w:after="40"/>
      <w:ind w:hanging="0" w:left="1134" w:right="-851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CNPJ 77.902.914/0001-72</w:t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40" w:after="40"/>
      <w:ind w:hanging="0" w:left="0" w:right="-2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0" w:after="0"/>
      <w:ind w:hanging="0" w:left="0" w:right="0"/>
      <w:jc w:val="left"/>
      <w:rPr>
        <w:sz w:val="22"/>
        <w:szCs w:val="22"/>
      </w:rPr>
    </w:pPr>
    <w:r>
      <w:rPr>
        <w:sz w:val="22"/>
        <w:szCs w:val="22"/>
      </w:rPr>
    </w:r>
  </w:p>
  <w:p>
    <w:pPr>
      <w:pStyle w:val="normal1"/>
      <w:tabs>
        <w:tab w:val="clear" w:pos="720"/>
        <w:tab w:val="left" w:pos="3951" w:leader="none"/>
      </w:tabs>
      <w:spacing w:lineRule="auto" w:line="240" w:before="60" w:after="0"/>
      <w:jc w:val="center"/>
      <w:rPr>
        <w:b/>
        <w:sz w:val="22"/>
        <w:szCs w:val="22"/>
      </w:rPr>
    </w:pPr>
    <w:r>
      <w:rPr>
        <w:b/>
        <w:sz w:val="22"/>
        <w:szCs w:val="22"/>
      </w:rPr>
      <w:t>EDITAL Nº 001/2025 – MICROCREDENCIAIS/UNICENTRO</w:t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0" w:after="0"/>
      <w:ind w:hanging="0" w:left="0" w:right="0"/>
      <w:jc w:val="left"/>
      <w:rPr>
        <w:sz w:val="22"/>
        <w:szCs w:val="22"/>
      </w:rPr>
    </w:pPr>
    <w:r>
      <w:rPr>
        <w:sz w:val="22"/>
        <w:szCs w:val="2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40" w:after="40"/>
      <w:ind w:hanging="0" w:left="0" w:right="-851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42"/>
        <w:sz w:val="42"/>
        <w:szCs w:val="4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 </w:t>
    </w: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42"/>
        <w:sz w:val="42"/>
        <w:szCs w:val="4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212090</wp:posOffset>
          </wp:positionH>
          <wp:positionV relativeFrom="paragraph">
            <wp:posOffset>28575</wp:posOffset>
          </wp:positionV>
          <wp:extent cx="800100" cy="714375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42"/>
        <w:sz w:val="42"/>
        <w:szCs w:val="42"/>
        <w:u w:val="none"/>
        <w:shd w:fill="auto" w:val="clear"/>
        <w:vertAlign w:val="baseline"/>
      </w:rPr>
      <w:t>Universidade Estadual do Centro-Oeste</w:t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40" w:after="40"/>
      <w:ind w:hanging="0" w:left="1134" w:right="-851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40" w:after="40"/>
      <w:ind w:hanging="0" w:left="1134" w:right="-851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Reconhecida pelo Decreto Estadual nº 3.444/97 </w:t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40" w:after="40"/>
      <w:ind w:hanging="0" w:left="1134" w:right="-851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CNPJ 77.902.914/0001-72</w:t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40" w:after="40"/>
      <w:ind w:hanging="0" w:left="0" w:right="-2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0" w:after="0"/>
      <w:ind w:hanging="0" w:left="0" w:right="0"/>
      <w:jc w:val="left"/>
      <w:rPr>
        <w:sz w:val="22"/>
        <w:szCs w:val="22"/>
      </w:rPr>
    </w:pPr>
    <w:r>
      <w:rPr>
        <w:sz w:val="22"/>
        <w:szCs w:val="22"/>
      </w:rPr>
    </w:r>
  </w:p>
  <w:p>
    <w:pPr>
      <w:pStyle w:val="normal1"/>
      <w:tabs>
        <w:tab w:val="clear" w:pos="720"/>
        <w:tab w:val="left" w:pos="3951" w:leader="none"/>
      </w:tabs>
      <w:spacing w:lineRule="auto" w:line="240" w:before="60" w:after="0"/>
      <w:jc w:val="center"/>
      <w:rPr>
        <w:b/>
        <w:sz w:val="22"/>
        <w:szCs w:val="22"/>
      </w:rPr>
    </w:pPr>
    <w:r>
      <w:rPr>
        <w:b/>
        <w:sz w:val="22"/>
        <w:szCs w:val="22"/>
      </w:rPr>
      <w:t>EDITAL Nº 001/2025 – MICROCREDENCIAIS/UNICENTRO</w:t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0" w:after="0"/>
      <w:ind w:hanging="0" w:left="0" w:right="0"/>
      <w:jc w:val="left"/>
      <w:rPr>
        <w:sz w:val="22"/>
        <w:szCs w:val="22"/>
      </w:rPr>
    </w:pPr>
    <w:r>
      <w:rPr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90"/>
  <w:defaultTabStop w:val="720"/>
  <w:mailMerge>
    <w:mainDocumentType w:val="formLetters"/>
    <w:dataType w:val="textFile"/>
    <w:query w:val="SELECT * FROM Endereços1.dbo.projetos$"/>
  </w:mailMerge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 w:val="false"/>
      <w:pageBreakBefore w:val="false"/>
      <w:widowControl w:val="false"/>
      <w:pBdr/>
      <w:shd w:val="clear" w:fill="auto"/>
      <w:spacing w:lineRule="auto" w:line="240" w:before="0" w:after="0"/>
      <w:ind w:hanging="0" w:left="0" w:right="0"/>
      <w:jc w:val="center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keepLines w:val="false"/>
      <w:pageBreakBefore w:val="false"/>
      <w:widowControl w:val="false"/>
      <w:pBdr/>
      <w:shd w:val="clear" w:fill="auto"/>
      <w:spacing w:lineRule="auto" w:line="240" w:before="0" w:after="0"/>
      <w:ind w:hanging="0" w:left="0" w:right="0"/>
      <w:jc w:val="center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6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keepLines w:val="false"/>
      <w:pageBreakBefore w:val="false"/>
      <w:widowControl w:val="false"/>
      <w:pBdr/>
      <w:shd w:val="clear" w:fill="auto"/>
      <w:spacing w:lineRule="auto" w:line="240" w:before="0" w:after="0"/>
      <w:ind w:hanging="0" w:left="0" w:right="0"/>
      <w:jc w:val="center"/>
    </w:pPr>
    <w:rPr>
      <w:rFonts w:ascii="Times New Roman" w:hAnsi="Times New Roman" w:eastAsia="Times New Roman" w:cs="Times New Roman"/>
      <w:b/>
      <w:i/>
      <w:caps w:val="false"/>
      <w:smallCaps w:val="false"/>
      <w:strike w:val="false"/>
      <w:dstrike w:val="false"/>
      <w:color w:val="000000"/>
      <w:position w:val="0"/>
      <w:sz w:val="34"/>
      <w:sz w:val="34"/>
      <w:szCs w:val="34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40" w:after="40"/>
      <w:ind w:hanging="0" w:left="0" w:right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 w:val="false"/>
      <w:pageBreakBefore w:val="false"/>
      <w:widowControl w:val="false"/>
      <w:pBdr/>
      <w:shd w:val="clear" w:fill="auto"/>
      <w:spacing w:lineRule="auto" w:line="240" w:before="0" w:after="0"/>
      <w:ind w:hanging="0" w:left="0" w:right="0"/>
      <w:jc w:val="center"/>
    </w:pPr>
    <w:rPr>
      <w:rFonts w:ascii="Times New Roman" w:hAnsi="Times New Roman" w:eastAsia="Times New Roman" w:cs="Times New Roman"/>
      <w:b w:val="false"/>
      <w:i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200" w:after="40"/>
      <w:ind w:hanging="0" w:left="0" w:right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StarSymbol" w:hAnsi="StarSymbol" w:eastAsia="Star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CabealhoChar" w:customStyle="1">
    <w:name w:val="Cabeçalho Char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RodapChar" w:customStyle="1">
    <w:name w:val="Rodapé Char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odebaloChar" w:customStyle="1">
    <w:name w:val="Texto de balão Char"/>
    <w:qFormat/>
    <w:rPr>
      <w:rFonts w:ascii="Tahoma" w:hAnsi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Hyperlink" w:customStyle="1">
    <w:name w:val="Hyperlink"/>
    <w:qFormat/>
    <w:rPr>
      <w:color w:val="000080"/>
      <w:u w:val="single"/>
    </w:rPr>
  </w:style>
  <w:style w:type="character" w:styleId="Strong">
    <w:name w:val="Strong"/>
    <w:basedOn w:val="DefaultParagraphFont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Estilo1" w:customStyle="1">
    <w:name w:val="Estilo1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style01" w:customStyle="1">
    <w:name w:val="fontstyle01"/>
    <w:qFormat/>
    <w:rPr>
      <w:rFonts w:ascii="Liberation Serif" w:hAnsi="Liberation Serif" w:cs="Liberation Serif"/>
      <w:color w:val="000000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Caracteresdenotaderodapuser" w:customStyle="1">
    <w:name w:val="Caracteres de nota de rodapé (user)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b0f55"/>
    <w:rPr>
      <w:color w:val="605E5C"/>
      <w:shd w:fill="E1DFDD" w:val="clear"/>
    </w:rPr>
  </w:style>
  <w:style w:type="character" w:styleId="EndnoteReference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 w:customStyle="1">
    <w:name w:val="Título"/>
    <w:basedOn w:val="LO-normal"/>
    <w:next w:val="BodyText"/>
    <w:qFormat/>
    <w:pPr>
      <w:keepNext w:val="true"/>
      <w:suppressAutoHyphens w:val="false"/>
      <w:spacing w:lineRule="atLeast" w:line="1" w:before="240" w:after="120"/>
      <w:textAlignment w:val="top"/>
      <w:outlineLvl w:val="0"/>
    </w:pPr>
    <w:rPr>
      <w:rFonts w:ascii="Liberation Sans" w:hAnsi="Liberation Sans" w:eastAsia="MS Mincho"/>
      <w:sz w:val="28"/>
      <w:szCs w:val="28"/>
      <w:lang w:eastAsia="pt-BR" w:bidi="ar-SA"/>
    </w:rPr>
  </w:style>
  <w:style w:type="paragraph" w:styleId="BodyText">
    <w:name w:val="Body Text"/>
    <w:basedOn w:val="LO-normal"/>
    <w:qFormat/>
    <w:pPr>
      <w:suppressAutoHyphens w:val="false"/>
      <w:spacing w:lineRule="atLeast" w:line="1" w:before="0" w:after="120"/>
      <w:textAlignment w:val="top"/>
      <w:outlineLvl w:val="0"/>
    </w:pPr>
    <w:rPr>
      <w:lang w:eastAsia="pt-BR" w:bidi="ar-SA"/>
    </w:rPr>
  </w:style>
  <w:style w:type="paragraph" w:styleId="List">
    <w:name w:val="List"/>
    <w:basedOn w:val="BodyText"/>
    <w:qFormat/>
    <w:pPr/>
    <w:rPr/>
  </w:style>
  <w:style w:type="paragraph" w:styleId="Caption">
    <w:name w:val="caption"/>
    <w:basedOn w:val="LO-normal"/>
    <w:qFormat/>
    <w:pPr>
      <w:suppressLineNumbers/>
      <w:suppressAutoHyphens w:val="false"/>
      <w:spacing w:lineRule="atLeast" w:line="1" w:before="120" w:after="120"/>
      <w:textAlignment w:val="top"/>
      <w:outlineLvl w:val="0"/>
    </w:pPr>
    <w:rPr>
      <w:i/>
      <w:iCs/>
      <w:lang w:eastAsia="pt-BR" w:bidi="ar-SA"/>
    </w:rPr>
  </w:style>
  <w:style w:type="paragraph" w:styleId="ndice" w:customStyle="1">
    <w:name w:val="Índice"/>
    <w:basedOn w:val="LO-normal"/>
    <w:qFormat/>
    <w:pPr>
      <w:suppressLineNumbers/>
      <w:suppressAutoHyphens w:val="false"/>
      <w:spacing w:lineRule="atLeast" w:line="1"/>
      <w:textAlignment w:val="top"/>
      <w:outlineLvl w:val="0"/>
    </w:pPr>
    <w:rPr>
      <w:lang w:eastAsia="pt-BR" w:bidi="ar-SA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 w:val="false"/>
      <w:pageBreakBefore w:val="false"/>
      <w:widowControl w:val="false"/>
      <w:pBdr/>
      <w:shd w:val="clear" w:fill="auto"/>
      <w:spacing w:lineRule="auto" w:line="240" w:before="240" w:after="12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ndiceuser" w:customStyle="1">
    <w:name w:val="Índice (user)"/>
    <w:basedOn w:val="normal1"/>
    <w:qFormat/>
    <w:pPr>
      <w:suppressLineNumbers/>
    </w:pPr>
    <w:rPr>
      <w:rFonts w:cs="Lucida Sans"/>
    </w:rPr>
  </w:style>
  <w:style w:type="paragraph" w:styleId="normal11" w:customStyle="1">
    <w:name w:val="normal1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en-US" w:eastAsia="zh-CN" w:bidi="hi-IN"/>
    </w:rPr>
  </w:style>
  <w:style w:type="paragraph" w:styleId="LO-normal" w:customStyle="1">
    <w:name w:val="LO-normal"/>
    <w:qFormat/>
    <w:pPr>
      <w:widowControl w:val="false"/>
      <w:bidi w:val="0"/>
      <w:spacing w:before="0" w:after="0"/>
      <w:jc w:val="left"/>
    </w:pPr>
    <w:rPr>
      <w:rFonts w:cs="Arial" w:ascii="Times New Roman" w:hAnsi="Times New Roman" w:eastAsia="NSimSun"/>
      <w:color w:val="auto"/>
      <w:kern w:val="0"/>
      <w:sz w:val="24"/>
      <w:szCs w:val="24"/>
      <w:lang w:val="en-US" w:eastAsia="zh-CN" w:bidi="hi-IN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  <w:textAlignment w:val="top"/>
    </w:pPr>
    <w:rPr>
      <w:b/>
      <w:bCs/>
      <w:lang w:eastAsia="pt-BR"/>
    </w:rPr>
  </w:style>
  <w:style w:type="paragraph" w:styleId="WW-Padro" w:customStyle="1">
    <w:name w:val="WW-Padrão"/>
    <w:qFormat/>
    <w:pPr>
      <w:widowControl w:val="false"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cs="Arial" w:ascii="Times New Roman" w:hAnsi="Times New Roman" w:eastAsia="NSimSun"/>
      <w:color w:val="auto"/>
      <w:kern w:val="0"/>
      <w:sz w:val="24"/>
      <w:szCs w:val="24"/>
      <w:lang w:val="en-US" w:eastAsia="en-US" w:bidi="ar-SA"/>
    </w:rPr>
  </w:style>
  <w:style w:type="paragraph" w:styleId="CabealhoeRodap" w:customStyle="1">
    <w:name w:val="Cabeçalho e Rodapé"/>
    <w:basedOn w:val="normal11"/>
    <w:qFormat/>
    <w:pPr/>
    <w:rPr/>
  </w:style>
  <w:style w:type="paragraph" w:styleId="Cabealhoerodap1" w:customStyle="1">
    <w:name w:val="Cabeçalho e rodapé1"/>
    <w:basedOn w:val="normal1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LO-normal"/>
    <w:qFormat/>
    <w:pPr>
      <w:suppressAutoHyphens w:val="false"/>
      <w:spacing w:lineRule="atLeast" w:line="1"/>
      <w:textAlignment w:val="top"/>
      <w:outlineLvl w:val="0"/>
    </w:pPr>
    <w:rPr>
      <w:lang w:eastAsia="pt-BR" w:bidi="ar-SA"/>
    </w:rPr>
  </w:style>
  <w:style w:type="paragraph" w:styleId="Footer">
    <w:name w:val="footer"/>
    <w:basedOn w:val="LO-normal"/>
    <w:qFormat/>
    <w:pPr>
      <w:suppressAutoHyphens w:val="false"/>
      <w:spacing w:lineRule="atLeast" w:line="1"/>
      <w:textAlignment w:val="top"/>
      <w:outlineLvl w:val="0"/>
    </w:pPr>
    <w:rPr>
      <w:lang w:eastAsia="pt-BR" w:bidi="ar-SA"/>
    </w:rPr>
  </w:style>
  <w:style w:type="paragraph" w:styleId="NormalWeb">
    <w:name w:val="Normal (Web)"/>
    <w:basedOn w:val="LO-normal"/>
    <w:qFormat/>
    <w:pPr>
      <w:widowControl/>
      <w:spacing w:lineRule="atLeast" w:line="1" w:beforeAutospacing="1" w:after="119"/>
      <w:textAlignment w:val="top"/>
      <w:outlineLvl w:val="0"/>
    </w:pPr>
    <w:rPr>
      <w:lang w:eastAsia="pt-BR" w:bidi="ar-SA"/>
    </w:rPr>
  </w:style>
  <w:style w:type="paragraph" w:styleId="BalloonText">
    <w:name w:val="Balloon Text"/>
    <w:basedOn w:val="LO-normal"/>
    <w:qFormat/>
    <w:pPr>
      <w:suppressAutoHyphens w:val="false"/>
      <w:spacing w:lineRule="atLeast" w:line="1"/>
      <w:textAlignment w:val="top"/>
      <w:outlineLvl w:val="0"/>
    </w:pPr>
    <w:rPr>
      <w:rFonts w:ascii="Tahoma" w:hAnsi="Tahoma" w:cs="Times New Roman"/>
      <w:sz w:val="16"/>
      <w:szCs w:val="16"/>
      <w:lang w:bidi="ar-SA"/>
    </w:rPr>
  </w:style>
  <w:style w:type="paragraph" w:styleId="ListParagraph">
    <w:name w:val="List Paragraph"/>
    <w:basedOn w:val="LO-normal"/>
    <w:uiPriority w:val="1"/>
    <w:qFormat/>
    <w:pPr>
      <w:widowControl/>
      <w:spacing w:lineRule="atLeast" w:line="1" w:before="0" w:after="0"/>
      <w:ind w:left="720"/>
      <w:contextualSpacing/>
      <w:textAlignment w:val="top"/>
      <w:outlineLvl w:val="0"/>
    </w:pPr>
    <w:rPr>
      <w:sz w:val="20"/>
      <w:szCs w:val="20"/>
      <w:lang w:val="en-US" w:eastAsia="en-US" w:bidi="ar-SA"/>
    </w:rPr>
  </w:style>
  <w:style w:type="paragraph" w:styleId="Standard" w:customStyle="1">
    <w:name w:val="Standard"/>
    <w:qFormat/>
    <w:pPr>
      <w:widowControl w:val="false"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cs="Arial" w:ascii="Times New Roman" w:hAnsi="Times New Roman" w:eastAsia="NSimSun"/>
      <w:color w:val="auto"/>
      <w:kern w:val="2"/>
      <w:sz w:val="24"/>
      <w:szCs w:val="24"/>
      <w:lang w:bidi="ar-SA" w:val="en-US" w:eastAsia="zh-CN"/>
    </w:rPr>
  </w:style>
  <w:style w:type="paragraph" w:styleId="Contedodetabela" w:customStyle="1">
    <w:name w:val="Conteúdo de tabela"/>
    <w:basedOn w:val="LO-normal"/>
    <w:qFormat/>
    <w:pPr>
      <w:widowControl/>
      <w:suppressLineNumbers/>
      <w:suppressAutoHyphens w:val="false"/>
      <w:spacing w:lineRule="atLeast" w:line="1"/>
      <w:textAlignment w:val="top"/>
      <w:outlineLvl w:val="0"/>
    </w:pPr>
    <w:rPr>
      <w:kern w:val="2"/>
      <w:lang w:bidi="ar-SA"/>
    </w:rPr>
  </w:style>
  <w:style w:type="paragraph" w:styleId="Contedodoquadro" w:customStyle="1">
    <w:name w:val="Conteúdo do quadro"/>
    <w:basedOn w:val="normal11"/>
    <w:qFormat/>
    <w:pPr/>
    <w:rPr/>
  </w:style>
  <w:style w:type="paragraph" w:styleId="FootnoteText">
    <w:name w:val="footnote text"/>
    <w:basedOn w:val="normal1"/>
    <w:pPr/>
    <w:rPr/>
  </w:style>
  <w:style w:type="paragraph" w:styleId="Contedodoquadrouser" w:customStyle="1">
    <w:name w:val="Conteúdo do quadro (user)"/>
    <w:basedOn w:val="normal1"/>
    <w:qFormat/>
    <w:pPr/>
    <w:rPr/>
  </w:style>
  <w:style w:type="paragraph" w:styleId="TableParagraph" w:customStyle="1">
    <w:name w:val="Table Paragraph"/>
    <w:basedOn w:val="normal1"/>
    <w:uiPriority w:val="1"/>
    <w:qFormat/>
    <w:rsid w:val="00af153f"/>
    <w:pPr>
      <w:suppressAutoHyphens w:val="true"/>
      <w:spacing w:lineRule="auto" w:line="240"/>
      <w:textAlignment w:val="auto"/>
    </w:pPr>
    <w:rPr>
      <w:rFonts w:eastAsia="Times New Roman" w:cs="Times New Roman"/>
      <w:sz w:val="22"/>
      <w:szCs w:val="22"/>
      <w:lang w:val="pt-PT" w:eastAsia="en-US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Semlista" w:customStyle="1">
    <w:name w:val="Sem lista"/>
    <w:qFormat/>
  </w:style>
  <w:style w:type="numbering" w:styleId="Estilo2" w:customStyle="1">
    <w:name w:val="Estilo2"/>
    <w:uiPriority w:val="99"/>
    <w:qFormat/>
    <w:rsid w:val="007921ff"/>
  </w:style>
  <w:style w:type="table" w:default="1" w:styleId="TableNormal">
    <w:name w:val="TableNormal"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brasil.un.org/pt-br/sdgs" TargetMode="External"/><Relationship Id="rId2" Type="http://schemas.openxmlformats.org/officeDocument/2006/relationships/hyperlink" Target="https://www.seti.pr.gov.br/sites/default/arquivos_restritos/files/documento/2024-07/politica-estadual-cti.pdf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WckDkyL8Vs6HwnYeqssorJ/3BA==">CgMxLjA4AHIhMTNORjBYUHhnTVRmLWdHVmVTVVAwdFhrUEFaZHlhcW1K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LibreOffice/25.2.5.2$Windows_X86_64 LibreOffice_project/03d19516eb2e1dd5d4ccd751a0d6f35f35e08022</Application>
  <AppVersion>15.0000</AppVersion>
  <Pages>3</Pages>
  <Words>564</Words>
  <Characters>3674</Characters>
  <CharactersWithSpaces>4274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2018-07-12T12:28:00Z</dcterms:created>
  <dc:creator>Danny Jesse Falkembach Nascimento</dc:creator>
  <dc:description/>
  <dc:language>pt-BR</dc:language>
  <cp:lastModifiedBy/>
  <dcterms:modified xsi:type="dcterms:W3CDTF">2025-08-22T09:51:22Z</dcterms:modified>
  <cp:revision>1</cp:revision>
  <dc:subject/>
  <dc:title/>
</cp:coreProperties>
</file>