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C37" w:rsidRDefault="00671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pPr w:leftFromText="141" w:rightFromText="141" w:vertAnchor="text" w:tblpX="6421"/>
        <w:tblW w:w="45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</w:tblGrid>
      <w:tr w:rsidR="00671C37">
        <w:trPr>
          <w:trHeight w:val="228"/>
        </w:trPr>
        <w:tc>
          <w:tcPr>
            <w:tcW w:w="4536" w:type="dxa"/>
          </w:tcPr>
          <w:p w:rsidR="00671C37" w:rsidRDefault="001565DB">
            <w:pPr>
              <w:jc w:val="center"/>
              <w:rPr>
                <w:rFonts w:ascii="Arial" w:eastAsia="Arial" w:hAnsi="Arial" w:cs="Arial"/>
                <w:color w:val="595959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595959"/>
                <w:sz w:val="28"/>
                <w:szCs w:val="28"/>
              </w:rPr>
              <w:t>Edição #1 I 10 dezembro de 2025</w:t>
            </w:r>
          </w:p>
        </w:tc>
      </w:tr>
    </w:tbl>
    <w:p w:rsidR="00671C37" w:rsidRDefault="001565D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-387468</wp:posOffset>
                </wp:positionH>
                <wp:positionV relativeFrom="paragraph">
                  <wp:posOffset>-140797</wp:posOffset>
                </wp:positionV>
                <wp:extent cx="7024922" cy="742950"/>
                <wp:effectExtent l="0" t="0" r="0" b="0"/>
                <wp:wrapNone/>
                <wp:docPr id="1446367965" name="Retângulo Arredondado 144636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8302" y="3413288"/>
                          <a:ext cx="7015397" cy="733425"/>
                        </a:xfrm>
                        <a:prstGeom prst="roundRect">
                          <a:avLst>
                            <a:gd name="adj" fmla="val 34849"/>
                          </a:avLst>
                        </a:prstGeom>
                        <a:solidFill>
                          <a:srgbClr val="B3C6E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71C37" w:rsidRDefault="001565DB">
                            <w:pPr>
                              <w:spacing w:after="0" w:line="240" w:lineRule="auto"/>
                              <w:ind w:left="425" w:firstLine="425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Produção e Inovação Guarapuava</w:t>
                            </w:r>
                          </w:p>
                          <w:p w:rsidR="00671C37" w:rsidRDefault="00671C37">
                            <w:pPr>
                              <w:spacing w:line="277" w:lineRule="auto"/>
                              <w:ind w:left="141" w:firstLine="141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-387468</wp:posOffset>
                </wp:positionH>
                <wp:positionV relativeFrom="paragraph">
                  <wp:posOffset>-140797</wp:posOffset>
                </wp:positionV>
                <wp:extent cx="7024922" cy="742950"/>
                <wp:effectExtent b="0" l="0" r="0" t="0"/>
                <wp:wrapNone/>
                <wp:docPr id="144636796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4922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71C37" w:rsidRDefault="00671C37"/>
    <w:p w:rsidR="00671C37" w:rsidRDefault="00671C37"/>
    <w:tbl>
      <w:tblPr>
        <w:tblStyle w:val="a0"/>
        <w:tblW w:w="102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57"/>
        <w:gridCol w:w="4549"/>
      </w:tblGrid>
      <w:tr w:rsidR="00671C37">
        <w:trPr>
          <w:trHeight w:val="7895"/>
        </w:trPr>
        <w:tc>
          <w:tcPr>
            <w:tcW w:w="5657" w:type="dxa"/>
            <w:vAlign w:val="center"/>
          </w:tcPr>
          <w:p w:rsidR="00671C37" w:rsidRDefault="00671C37">
            <w:pPr>
              <w:rPr>
                <w:rFonts w:ascii="Arial" w:eastAsia="Arial" w:hAnsi="Arial" w:cs="Arial"/>
                <w:sz w:val="72"/>
                <w:szCs w:val="72"/>
              </w:rPr>
            </w:pPr>
          </w:p>
          <w:p w:rsidR="00671C37" w:rsidRDefault="001565DB">
            <w:pPr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noProof/>
                <w:sz w:val="72"/>
                <w:szCs w:val="72"/>
              </w:rPr>
              <w:drawing>
                <wp:inline distT="0" distB="0" distL="0" distR="0">
                  <wp:extent cx="3262839" cy="2743950"/>
                  <wp:effectExtent l="0" t="0" r="0" b="0"/>
                  <wp:docPr id="144636797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2839" cy="274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71C37" w:rsidRDefault="001565D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Foto: Cacique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Guairacá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por Josélia E. Teixeira</w:t>
            </w:r>
          </w:p>
          <w:p w:rsidR="00671C37" w:rsidRDefault="001565DB">
            <w:pPr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 xml:space="preserve">Estrutura Produtiva do </w:t>
            </w:r>
          </w:p>
          <w:p w:rsidR="00671C37" w:rsidRDefault="001565DB">
            <w:pPr>
              <w:jc w:val="center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 xml:space="preserve">Município </w:t>
            </w:r>
          </w:p>
          <w:p w:rsidR="00671C37" w:rsidRDefault="00671C37">
            <w:pPr>
              <w:jc w:val="center"/>
            </w:pPr>
          </w:p>
        </w:tc>
        <w:tc>
          <w:tcPr>
            <w:tcW w:w="4549" w:type="dxa"/>
            <w:shd w:val="clear" w:color="auto" w:fill="000000"/>
          </w:tcPr>
          <w:p w:rsidR="00671C37" w:rsidRDefault="001565DB">
            <w:pPr>
              <w:spacing w:line="360" w:lineRule="auto"/>
              <w:ind w:right="40"/>
              <w:jc w:val="both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Guarapuava foi fundada em 1819, sendo ainda o município de maior extensão territorial do Estado do Paraná. A denominação tem origem do tupi-guarani: </w:t>
            </w:r>
            <w:r>
              <w:rPr>
                <w:rFonts w:ascii="Arial" w:eastAsia="Arial" w:hAnsi="Arial" w:cs="Arial"/>
                <w:i/>
                <w:iCs/>
              </w:rPr>
              <w:t>guará</w:t>
            </w:r>
            <w:r>
              <w:rPr>
                <w:rFonts w:ascii="Arial" w:eastAsia="Arial" w:hAnsi="Arial" w:cs="Arial"/>
              </w:rPr>
              <w:t xml:space="preserve"> (lobo) e </w:t>
            </w:r>
            <w:proofErr w:type="spellStart"/>
            <w:r>
              <w:rPr>
                <w:rFonts w:ascii="Arial" w:eastAsia="Arial" w:hAnsi="Arial" w:cs="Arial"/>
                <w:i/>
                <w:iCs/>
              </w:rPr>
              <w:t>puava</w:t>
            </w:r>
            <w:proofErr w:type="spellEnd"/>
            <w:r>
              <w:rPr>
                <w:rFonts w:ascii="Arial" w:eastAsia="Arial" w:hAnsi="Arial" w:cs="Arial"/>
              </w:rPr>
              <w:t xml:space="preserve"> (bravo)</w:t>
            </w:r>
            <w:r>
              <w:t>.</w:t>
            </w:r>
            <w:r>
              <w:rPr>
                <w:rFonts w:ascii="Arial" w:eastAsia="Arial" w:hAnsi="Arial" w:cs="Arial"/>
                <w:color w:val="FFFFFF"/>
              </w:rPr>
              <w:t xml:space="preserve">  Guarapuava apresenta uma população estimada pelo IBGE (2025) de 189.630 mil habitantes. O PIB de PIB a preços correntes registrado é de </w:t>
            </w:r>
            <w:r>
              <w:rPr>
                <w:rFonts w:ascii="Arial" w:eastAsia="Arial" w:hAnsi="Arial" w:cs="Arial"/>
              </w:rPr>
              <w:t xml:space="preserve">8.309.342,32 (x mil) e o PIB per capita foi de R$45.220,00 (IBGE, 2021). No Paraná, Guarapuava-PR está posicionada em </w:t>
            </w:r>
            <w:r>
              <w:rPr>
                <w:rFonts w:ascii="Arial" w:eastAsia="Arial" w:hAnsi="Arial" w:cs="Arial"/>
              </w:rPr>
              <w:t>10º lugar entre os maiores PIB por municípios, representando 1,51% da economia paranaense.</w:t>
            </w:r>
          </w:p>
        </w:tc>
      </w:tr>
    </w:tbl>
    <w:p w:rsidR="00671C37" w:rsidRDefault="00671C37"/>
    <w:p w:rsidR="00671C37" w:rsidRDefault="00671C37"/>
    <w:p w:rsidR="00671C37" w:rsidRDefault="00671C37"/>
    <w:p w:rsidR="00671C37" w:rsidRDefault="00671C37"/>
    <w:p w:rsidR="00671C37" w:rsidRDefault="001565DB">
      <w:pPr>
        <w:ind w:right="1415"/>
        <w:rPr>
          <w:rFonts w:ascii="Arial" w:eastAsia="Arial" w:hAnsi="Arial" w:cs="Arial"/>
          <w:b/>
          <w:bCs/>
          <w:sz w:val="52"/>
          <w:szCs w:val="52"/>
        </w:rPr>
      </w:pPr>
      <w:r>
        <w:rPr>
          <w:rFonts w:ascii="Arial" w:eastAsia="Arial" w:hAnsi="Arial" w:cs="Arial"/>
          <w:b/>
          <w:bCs/>
          <w:sz w:val="52"/>
          <w:szCs w:val="52"/>
        </w:rPr>
        <w:t>Participação dos Setores Econômicos em Guarapuava (PIB – Valor Adicionado Bruto/VAB)</w:t>
      </w:r>
    </w:p>
    <w:p w:rsidR="00671C37" w:rsidRDefault="001565DB">
      <w:pPr>
        <w:ind w:right="14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Tabela 1. Valor Adicionado Bruto a preços básicos para Guarapuava</w:t>
      </w:r>
    </w:p>
    <w:tbl>
      <w:tblPr>
        <w:tblStyle w:val="a1"/>
        <w:tblpPr w:leftFromText="180" w:rightFromText="180" w:topFromText="180" w:bottomFromText="180" w:vertAnchor="text" w:tblpX="-45"/>
        <w:tblW w:w="97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70"/>
        <w:gridCol w:w="3803"/>
      </w:tblGrid>
      <w:tr w:rsidR="00671C37">
        <w:trPr>
          <w:trHeight w:val="345"/>
        </w:trPr>
        <w:tc>
          <w:tcPr>
            <w:tcW w:w="9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E4F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VALOR ADICIONADO BRUTO (VAB) A PREÇOS BÁSICOS (R$1000)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RAMO DE ATIVIDADE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2021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VAB TOTAL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7.169.055,40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VAB a Preços Básicos na Agropecuária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770.156,84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VAB a Preços Básicos na Indústria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1.708.289,07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VAB a Preços Básicos no Comércio e Serviços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3.818.259,87</w:t>
            </w:r>
          </w:p>
        </w:tc>
      </w:tr>
      <w:tr w:rsidR="00671C37">
        <w:trPr>
          <w:trHeight w:val="345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VAB a Preços Básicos na Administração Pública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872.349,63</w:t>
            </w:r>
          </w:p>
        </w:tc>
      </w:tr>
      <w:tr w:rsidR="00671C37">
        <w:trPr>
          <w:trHeight w:val="330"/>
        </w:trPr>
        <w:tc>
          <w:tcPr>
            <w:tcW w:w="5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line="24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PIB - IMPOSTO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1.140.286,92</w:t>
            </w:r>
          </w:p>
        </w:tc>
      </w:tr>
    </w:tbl>
    <w:p w:rsidR="00671C37" w:rsidRDefault="00671C37">
      <w:pPr>
        <w:spacing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:rsidR="00671C37" w:rsidRDefault="00671C37">
      <w:pPr>
        <w:spacing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:rsidR="00671C37" w:rsidRDefault="00671C37">
      <w:pPr>
        <w:spacing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:rsidR="00671C37" w:rsidRDefault="00671C37">
      <w:pPr>
        <w:spacing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:rsidR="00671C37" w:rsidRDefault="00671C37">
      <w:pPr>
        <w:spacing w:line="240" w:lineRule="auto"/>
        <w:jc w:val="center"/>
        <w:rPr>
          <w:rFonts w:ascii="Arial" w:eastAsia="Arial" w:hAnsi="Arial" w:cs="Arial"/>
          <w:sz w:val="52"/>
          <w:szCs w:val="52"/>
        </w:rPr>
      </w:pPr>
    </w:p>
    <w:p w:rsidR="00671C37" w:rsidRDefault="00671C37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:rsidR="00671C37" w:rsidRDefault="001565DB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IBGE (2025).</w:t>
      </w:r>
    </w:p>
    <w:p w:rsidR="00671C37" w:rsidRDefault="001565DB">
      <w:pPr>
        <w:numPr>
          <w:ilvl w:val="0"/>
          <w:numId w:val="1"/>
        </w:numPr>
        <w:shd w:val="clear" w:color="auto" w:fill="FFFFFF"/>
        <w:spacing w:after="180"/>
        <w:ind w:left="0" w:right="1132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</w:rPr>
        <w:t xml:space="preserve">O Valor Adicionado Bruto (VAB) </w:t>
      </w:r>
      <w:r>
        <w:rPr>
          <w:rFonts w:ascii="Arial" w:eastAsia="Arial" w:hAnsi="Arial" w:cs="Arial"/>
          <w:color w:val="0A0A0A"/>
        </w:rPr>
        <w:t xml:space="preserve">mede a produção final total da economia nacional. O comércio e serviços têm se apresentado como o setor com maior VAB, seguido da indústria que tem se apresentado como um forte setor dentro da economia </w:t>
      </w:r>
      <w:proofErr w:type="spellStart"/>
      <w:r>
        <w:rPr>
          <w:rFonts w:ascii="Arial" w:eastAsia="Arial" w:hAnsi="Arial" w:cs="Arial"/>
          <w:color w:val="0A0A0A"/>
        </w:rPr>
        <w:t>guarapuavana</w:t>
      </w:r>
      <w:proofErr w:type="spellEnd"/>
      <w:r>
        <w:rPr>
          <w:rFonts w:ascii="Arial" w:eastAsia="Arial" w:hAnsi="Arial" w:cs="Arial"/>
          <w:color w:val="0A0A0A"/>
        </w:rPr>
        <w:t>.</w:t>
      </w: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671C37">
      <w:pPr>
        <w:shd w:val="clear" w:color="auto" w:fill="FFFFFF"/>
        <w:spacing w:after="180"/>
        <w:ind w:right="1132"/>
        <w:rPr>
          <w:rFonts w:ascii="Arial" w:eastAsia="Arial" w:hAnsi="Arial" w:cs="Arial"/>
          <w:color w:val="0A0A0A"/>
        </w:rPr>
      </w:pPr>
    </w:p>
    <w:p w:rsidR="00671C37" w:rsidRDefault="001565DB">
      <w:pPr>
        <w:shd w:val="clear" w:color="auto" w:fill="FFFFFF"/>
        <w:spacing w:after="180"/>
        <w:ind w:right="1132"/>
        <w:jc w:val="both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  <w:color w:val="0A0A0A"/>
        </w:rPr>
        <w:t>Embora os últimos registros de 2020 e 2021 tenham sido o auge da pandemia do Covid-19, os Valores Adicionados Brutos por segmentos ainda assim apresentaram-se crescentes, apesar de todas as medidas impostas para a contenção da pandemia e pela incerteza das</w:t>
      </w:r>
      <w:r>
        <w:rPr>
          <w:rFonts w:ascii="Arial" w:eastAsia="Arial" w:hAnsi="Arial" w:cs="Arial"/>
          <w:color w:val="0A0A0A"/>
        </w:rPr>
        <w:t xml:space="preserve"> consequências econômicas.</w:t>
      </w:r>
    </w:p>
    <w:p w:rsidR="00671C37" w:rsidRDefault="001565DB">
      <w:pPr>
        <w:numPr>
          <w:ilvl w:val="0"/>
          <w:numId w:val="1"/>
        </w:numPr>
        <w:shd w:val="clear" w:color="auto" w:fill="FFFFFF"/>
        <w:spacing w:after="180"/>
        <w:ind w:left="0" w:right="1132"/>
        <w:rPr>
          <w:rFonts w:ascii="Arial" w:eastAsia="Arial" w:hAnsi="Arial" w:cs="Arial"/>
          <w:color w:val="0A0A0A"/>
        </w:rPr>
      </w:pPr>
      <w:r>
        <w:rPr>
          <w:rFonts w:ascii="Arial" w:eastAsia="Arial" w:hAnsi="Arial" w:cs="Arial"/>
          <w:b/>
          <w:bCs/>
          <w:color w:val="0A0A0A"/>
        </w:rPr>
        <w:t>Tabela 2.</w:t>
      </w:r>
      <w:r>
        <w:rPr>
          <w:rFonts w:ascii="Arial" w:eastAsia="Arial" w:hAnsi="Arial" w:cs="Arial"/>
          <w:color w:val="0A0A0A"/>
        </w:rPr>
        <w:t xml:space="preserve"> Histórico do Valor Adicionado Bruto a preços básicos por setores para Guarapuava</w:t>
      </w:r>
    </w:p>
    <w:p w:rsidR="00671C37" w:rsidRDefault="00671C37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2"/>
        <w:tblpPr w:leftFromText="180" w:rightFromText="180" w:topFromText="180" w:bottomFromText="180" w:vertAnchor="text" w:tblpX="-135"/>
        <w:tblW w:w="101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1380"/>
        <w:gridCol w:w="1425"/>
        <w:gridCol w:w="1380"/>
        <w:gridCol w:w="1380"/>
        <w:gridCol w:w="1948"/>
      </w:tblGrid>
      <w:tr w:rsidR="00671C37">
        <w:trPr>
          <w:trHeight w:val="345"/>
        </w:trPr>
        <w:tc>
          <w:tcPr>
            <w:tcW w:w="101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E4F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PIB - VALOR ADICIONADO BRUTO (VAB) A PREÇOS BÁSICOS (R$1000)</w:t>
            </w:r>
          </w:p>
        </w:tc>
      </w:tr>
      <w:tr w:rsidR="00671C37">
        <w:trPr>
          <w:trHeight w:val="540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RAMO DE ATIVIDADE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</w:tr>
      <w:tr w:rsidR="00671C37">
        <w:trPr>
          <w:trHeight w:val="491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VAB TOTAL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4.924.952,77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5.397.159,77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5.357.747,19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6.556.216,66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7.169.055,40</w:t>
            </w:r>
          </w:p>
        </w:tc>
      </w:tr>
      <w:tr w:rsidR="00671C37">
        <w:trPr>
          <w:trHeight w:val="345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VAB a Preços Básicos na Agropecuária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320.722,04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352.430,57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351.452,89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707.199,56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770.156,84</w:t>
            </w:r>
          </w:p>
        </w:tc>
      </w:tr>
      <w:tr w:rsidR="00671C37">
        <w:trPr>
          <w:trHeight w:val="345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VAB a Preços Básicos na Indústria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1.070.456,69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1.122.213,27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1.087.383,21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1.531.408,81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1.708.289,07</w:t>
            </w:r>
          </w:p>
        </w:tc>
      </w:tr>
      <w:tr w:rsidR="00671C37">
        <w:trPr>
          <w:trHeight w:val="345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VAB a Preços Básicos no Comércio e Serviços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2.769.945,67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3.110.835,77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3.130.930,06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3.490.946,48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3.818.259,87</w:t>
            </w:r>
          </w:p>
        </w:tc>
      </w:tr>
      <w:tr w:rsidR="00671C37">
        <w:trPr>
          <w:trHeight w:val="947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VAB a Preços Básicos na Administração pública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763.828,37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811.680,16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787.981,03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826.661,81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872.349,63</w:t>
            </w:r>
          </w:p>
        </w:tc>
      </w:tr>
      <w:tr w:rsidR="00671C37">
        <w:trPr>
          <w:trHeight w:val="330"/>
        </w:trPr>
        <w:tc>
          <w:tcPr>
            <w:tcW w:w="2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PIB - IMPOSTO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683.203,10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718.557,67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748.550,31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963.505,50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1.140.286,92</w:t>
            </w:r>
          </w:p>
        </w:tc>
      </w:tr>
    </w:tbl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IBGE (2025).</w:t>
      </w: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Figura 1. </w:t>
      </w:r>
      <w:proofErr w:type="gramStart"/>
      <w:r>
        <w:rPr>
          <w:rFonts w:ascii="Arial" w:eastAsia="Arial" w:hAnsi="Arial" w:cs="Arial"/>
          <w:sz w:val="20"/>
          <w:szCs w:val="20"/>
        </w:rPr>
        <w:t>PIB  de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Guarapuava (a preços correntes)</w:t>
      </w: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114300" distB="114300" distL="114300" distR="114300">
            <wp:extent cx="6453822" cy="2911050"/>
            <wp:effectExtent l="0" t="0" r="0" b="0"/>
            <wp:docPr id="1446367966" name="image4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3822" cy="291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Elaborada a partir de dados do IBGE (2025)</w:t>
      </w:r>
    </w:p>
    <w:p w:rsidR="00671C37" w:rsidRDefault="001565DB">
      <w:pPr>
        <w:ind w:right="11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 Figura 2 podemos observar a evolução da renda per capita do município. Isto indica que o município está entre os 10 mais ricos do Estado do Paraná, embora ainda estes dados não revelam a distribuição de </w:t>
      </w:r>
      <w:r>
        <w:rPr>
          <w:rFonts w:ascii="Arial" w:eastAsia="Arial" w:hAnsi="Arial" w:cs="Arial"/>
          <w:sz w:val="20"/>
          <w:szCs w:val="20"/>
        </w:rPr>
        <w:t>riqueza, mas indicam o potencial do município.</w:t>
      </w:r>
    </w:p>
    <w:p w:rsidR="00671C37" w:rsidRDefault="001565DB">
      <w:pPr>
        <w:ind w:right="11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Figura 2: PIB per capita para o município de Guarapuava</w:t>
      </w:r>
    </w:p>
    <w:p w:rsidR="00671C37" w:rsidRDefault="001565DB">
      <w:pPr>
        <w:ind w:right="113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6129972" cy="2883088"/>
            <wp:effectExtent l="0" t="0" r="0" b="0"/>
            <wp:docPr id="1446367968" name="image7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áfic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972" cy="288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1C37" w:rsidRDefault="001565DB">
      <w:pPr>
        <w:ind w:right="11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IBGE (2025).</w:t>
      </w:r>
    </w:p>
    <w:p w:rsidR="00671C37" w:rsidRDefault="00671C37">
      <w:pPr>
        <w:ind w:right="1132"/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ind w:right="1132"/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ind w:right="1132"/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1565DB">
      <w:pPr>
        <w:jc w:val="both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COMÉRCIO EXTERIOR DE GUARAPUAVA</w:t>
      </w:r>
    </w:p>
    <w:p w:rsidR="00671C37" w:rsidRDefault="001565D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Guarapuava retoma saldo positivo na balança comercial no terceiro trimestre, após dois trimestre</w:t>
      </w:r>
      <w:r>
        <w:rPr>
          <w:rFonts w:ascii="Arial" w:eastAsia="Arial" w:hAnsi="Arial" w:cs="Arial"/>
        </w:rPr>
        <w:t>s consecutivos importando mais que exportando (Figura 3). Isso se deve aos principais segmentos que representam a pauta de exportação de Guarapuava (madeira, papel) que sofreram com o “</w:t>
      </w:r>
      <w:proofErr w:type="spellStart"/>
      <w:r>
        <w:rPr>
          <w:rFonts w:ascii="Arial" w:eastAsia="Arial" w:hAnsi="Arial" w:cs="Arial"/>
        </w:rPr>
        <w:t>tarifaço</w:t>
      </w:r>
      <w:proofErr w:type="spellEnd"/>
      <w:r>
        <w:rPr>
          <w:rFonts w:ascii="Arial" w:eastAsia="Arial" w:hAnsi="Arial" w:cs="Arial"/>
        </w:rPr>
        <w:t xml:space="preserve">” imposto pelos Estados Unidos. </w:t>
      </w:r>
    </w:p>
    <w:p w:rsidR="00671C37" w:rsidRDefault="001565DB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Figura 3: Saldo da Balança Com</w:t>
      </w:r>
      <w:r>
        <w:rPr>
          <w:rFonts w:ascii="Arial" w:eastAsia="Arial" w:hAnsi="Arial" w:cs="Arial"/>
          <w:b/>
          <w:bCs/>
        </w:rPr>
        <w:t>ercial de Guarapuava (por trimestre 2025- US$ FOB)</w:t>
      </w: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4748847" cy="2765906"/>
            <wp:effectExtent l="0" t="0" r="0" b="0"/>
            <wp:docPr id="1446367971" name="image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847" cy="2765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1C37" w:rsidRDefault="001565D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Elaborado a partir de dados do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COMEX </w:t>
      </w:r>
      <w:r>
        <w:rPr>
          <w:rFonts w:ascii="Arial" w:eastAsia="Arial" w:hAnsi="Arial" w:cs="Arial"/>
          <w:color w:val="484A4B"/>
          <w:sz w:val="26"/>
          <w:szCs w:val="26"/>
          <w:shd w:val="clear" w:color="auto" w:fill="F2F2F2"/>
        </w:rPr>
        <w:t xml:space="preserve"> </w:t>
      </w:r>
      <w:r>
        <w:rPr>
          <w:rFonts w:ascii="Arial" w:eastAsia="Arial" w:hAnsi="Arial" w:cs="Arial"/>
          <w:color w:val="484A4B"/>
          <w:sz w:val="20"/>
          <w:szCs w:val="20"/>
          <w:shd w:val="clear" w:color="auto" w:fill="F2F2F2"/>
        </w:rPr>
        <w:t>(</w:t>
      </w:r>
      <w:proofErr w:type="gramEnd"/>
      <w:r>
        <w:rPr>
          <w:rFonts w:ascii="Arial" w:eastAsia="Arial" w:hAnsi="Arial" w:cs="Arial"/>
          <w:color w:val="484A4B"/>
          <w:sz w:val="20"/>
          <w:szCs w:val="20"/>
          <w:shd w:val="clear" w:color="auto" w:fill="F2F2F2"/>
        </w:rPr>
        <w:t>Ministério do Desenvolvimento, Indústria, Comércio e Serviços)</w:t>
      </w: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(2025).</w:t>
      </w: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Tabela 3. Saldo da Balança Comercial de Guarapuava em 2025 (Valor </w:t>
      </w: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13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64"/>
        <w:gridCol w:w="3171"/>
        <w:gridCol w:w="3201"/>
        <w:gridCol w:w="3201"/>
      </w:tblGrid>
      <w:tr w:rsidR="00671C37">
        <w:trPr>
          <w:trHeight w:val="540"/>
        </w:trPr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E4F5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Mês</w:t>
            </w:r>
          </w:p>
        </w:tc>
        <w:tc>
          <w:tcPr>
            <w:tcW w:w="317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0E4F5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Exportação - 2025 - Valor US$ FOB</w:t>
            </w:r>
          </w:p>
        </w:tc>
        <w:tc>
          <w:tcPr>
            <w:tcW w:w="320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0E4F5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Importação - 2025 - Valor US$ FOB</w:t>
            </w:r>
          </w:p>
        </w:tc>
        <w:tc>
          <w:tcPr>
            <w:tcW w:w="3200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0E4F5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Saldo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01. janeiro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$15.007.322,00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$26.811.554,00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-11.804.232,00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02. fevereiro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$14.164.616,00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$15.720.510,00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-1.555.894,00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03. março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$17.504.182,00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$11.787.508,00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$ 5.716.674,00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04. abril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$15.578.527,00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$20.088.460,00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-4.509.933,00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05. maio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$15.605.330,00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$21.165.656,00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-5.560.326,00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06. junho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$13.821.244,00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$32.238.934,00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-18.417.690,00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07. julho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$10.984.458,00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$19.112.607,00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-8.128.149,00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08. agosto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$22.166.504,00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$7.566.466,00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$ 14.600.038,00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09. setembro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$9.021.568,00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$7.318.223,00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$ 1.703.345,00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10. outubro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$16.306.231,00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$15.917.651,00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$ 388.580,00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11. novembro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$14.591.618,00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$5.090.849,00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$ 9.500.769,00</w:t>
            </w:r>
          </w:p>
        </w:tc>
      </w:tr>
      <w:tr w:rsidR="00671C37">
        <w:trPr>
          <w:trHeight w:val="31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12. </w:t>
            </w:r>
            <w:proofErr w:type="gramStart"/>
            <w:r>
              <w:rPr>
                <w:sz w:val="22"/>
                <w:szCs w:val="22"/>
              </w:rPr>
              <w:t>Dezembro</w:t>
            </w:r>
            <w:proofErr w:type="gramEnd"/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$12.838.371,00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$19.263.242,00</w:t>
            </w: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-6.424.871,00</w:t>
            </w:r>
          </w:p>
        </w:tc>
      </w:tr>
      <w:tr w:rsidR="00671C37">
        <w:trPr>
          <w:trHeight w:val="495"/>
        </w:trPr>
        <w:tc>
          <w:tcPr>
            <w:tcW w:w="1764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CEF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Saldo de 12 meses</w:t>
            </w:r>
          </w:p>
        </w:tc>
        <w:tc>
          <w:tcPr>
            <w:tcW w:w="31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3CEF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671C37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3CEF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671C37">
            <w:pPr>
              <w:widowControl w:val="0"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3CEF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71C37" w:rsidRDefault="001565D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$ -2.226.517,18</w:t>
            </w:r>
          </w:p>
        </w:tc>
      </w:tr>
    </w:tbl>
    <w:p w:rsidR="00671C37" w:rsidRDefault="001565D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Elaborado a partir de dados do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COMEX </w:t>
      </w:r>
      <w:r>
        <w:rPr>
          <w:rFonts w:ascii="Arial" w:eastAsia="Arial" w:hAnsi="Arial" w:cs="Arial"/>
          <w:color w:val="484A4B"/>
          <w:sz w:val="26"/>
          <w:szCs w:val="26"/>
          <w:shd w:val="clear" w:color="auto" w:fill="F2F2F2"/>
        </w:rPr>
        <w:t xml:space="preserve"> </w:t>
      </w:r>
      <w:r>
        <w:rPr>
          <w:rFonts w:ascii="Arial" w:eastAsia="Arial" w:hAnsi="Arial" w:cs="Arial"/>
          <w:color w:val="484A4B"/>
          <w:sz w:val="20"/>
          <w:szCs w:val="20"/>
          <w:shd w:val="clear" w:color="auto" w:fill="F2F2F2"/>
        </w:rPr>
        <w:t>(</w:t>
      </w:r>
      <w:proofErr w:type="gramEnd"/>
      <w:r>
        <w:rPr>
          <w:rFonts w:ascii="Arial" w:eastAsia="Arial" w:hAnsi="Arial" w:cs="Arial"/>
          <w:color w:val="484A4B"/>
          <w:sz w:val="20"/>
          <w:szCs w:val="20"/>
          <w:shd w:val="clear" w:color="auto" w:fill="F2F2F2"/>
        </w:rPr>
        <w:t>Ministério do Desenvolvimento, Indústria, Comércio e Serviços)</w:t>
      </w:r>
    </w:p>
    <w:p w:rsidR="00671C37" w:rsidRDefault="001565DB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(2025).</w:t>
      </w:r>
    </w:p>
    <w:p w:rsidR="00671C37" w:rsidRDefault="00671C37">
      <w:pPr>
        <w:jc w:val="both"/>
        <w:rPr>
          <w:rFonts w:ascii="Arial" w:eastAsia="Arial" w:hAnsi="Arial" w:cs="Arial"/>
          <w:sz w:val="20"/>
          <w:szCs w:val="20"/>
        </w:rPr>
      </w:pPr>
    </w:p>
    <w:sectPr w:rsidR="00671C37">
      <w:headerReference w:type="default" r:id="rId13"/>
      <w:footerReference w:type="default" r:id="rId14"/>
      <w:pgSz w:w="11906" w:h="16838"/>
      <w:pgMar w:top="2268" w:right="284" w:bottom="0" w:left="28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5DB" w:rsidRDefault="001565DB">
      <w:pPr>
        <w:spacing w:after="0" w:line="240" w:lineRule="auto"/>
      </w:pPr>
      <w:r>
        <w:separator/>
      </w:r>
    </w:p>
  </w:endnote>
  <w:endnote w:type="continuationSeparator" w:id="0">
    <w:p w:rsidR="001565DB" w:rsidRDefault="0015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panose1 w:val="020B0604020202020204"/>
    <w:charset w:val="00"/>
    <w:family w:val="auto"/>
    <w:pitch w:val="default"/>
    <w:embedRegular r:id="rId1" w:fontKey="{DC81DE8C-D807-1246-9669-C181417F3A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BBB4A09-13E1-F24B-906E-9C72ED99D5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1F3165-115D-C346-B9DB-3702BCF44FD9}"/>
    <w:embedBold r:id="rId4" w:fontKey="{676CC672-8D63-8E49-9031-663472EBEF3E}"/>
    <w:embedItalic r:id="rId5" w:fontKey="{98350790-7656-F947-B93B-DB0372B0E3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13C30B6-2640-7649-B9F1-BC45832D03B2}"/>
    <w:embedBold r:id="rId7" w:fontKey="{5E9067C2-B336-BC48-867D-35530C6187B2}"/>
    <w:embedItalic r:id="rId8" w:fontKey="{9ECA0D43-06AF-534C-9C82-4F43D851D3C4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9" w:fontKey="{D6E94889-6A8B-A24A-88A2-7A160335F0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969990C-1FF7-014D-BD7B-EB57872A4748}"/>
    <w:embedBold r:id="rId11" w:fontKey="{DD1AA158-12CF-B844-BD6E-0246B12ABB66}"/>
    <w:embedItalic r:id="rId12" w:fontKey="{F0772FE2-117D-684F-9B95-68D1D7E2E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1C37" w:rsidRDefault="001565D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>
          <wp:extent cx="3316762" cy="929508"/>
          <wp:effectExtent l="0" t="0" r="0" b="0"/>
          <wp:docPr id="144636796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6762" cy="929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5DB" w:rsidRDefault="001565DB">
      <w:pPr>
        <w:spacing w:after="0" w:line="240" w:lineRule="auto"/>
      </w:pPr>
      <w:r>
        <w:separator/>
      </w:r>
    </w:p>
  </w:footnote>
  <w:footnote w:type="continuationSeparator" w:id="0">
    <w:p w:rsidR="001565DB" w:rsidRDefault="00156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1C37" w:rsidRDefault="001565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567" w:firstLine="709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-53339</wp:posOffset>
          </wp:positionH>
          <wp:positionV relativeFrom="paragraph">
            <wp:posOffset>-323214</wp:posOffset>
          </wp:positionV>
          <wp:extent cx="2893060" cy="1131570"/>
          <wp:effectExtent l="0" t="0" r="0" b="0"/>
          <wp:wrapSquare wrapText="bothSides" distT="0" distB="0" distL="114300" distR="114300"/>
          <wp:docPr id="144636796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3060" cy="1131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87609"/>
    <w:multiLevelType w:val="multilevel"/>
    <w:tmpl w:val="36306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C37"/>
    <w:rsid w:val="001565DB"/>
    <w:rsid w:val="00671C37"/>
    <w:rsid w:val="00DA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EFD00E2-C31D-434C-82C6-AED086FC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950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0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950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1950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950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950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950C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950C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950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950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0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950C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95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95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950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950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950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950C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950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950C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950C4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195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C3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556"/>
  </w:style>
  <w:style w:type="paragraph" w:styleId="Rodap">
    <w:name w:val="footer"/>
    <w:basedOn w:val="Normal"/>
    <w:link w:val="RodapChar"/>
    <w:uiPriority w:val="99"/>
    <w:unhideWhenUsed/>
    <w:rsid w:val="001C35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556"/>
  </w:style>
  <w:style w:type="character" w:customStyle="1" w:styleId="t286pc">
    <w:name w:val="t286pc"/>
    <w:basedOn w:val="Fontepargpadro"/>
    <w:rsid w:val="00E96DA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QJwuQq3WA8R3IQH9ersdyezCg==">CgMxLjA4AHIhMWV4RTZMS0xYZXlSaDVxUHpBUHN1NkZUUVYyeWFuaDhm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713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 Marconato</dc:creator>
  <cp:lastModifiedBy>Microsoft Office User</cp:lastModifiedBy>
  <cp:revision>2</cp:revision>
  <dcterms:created xsi:type="dcterms:W3CDTF">2026-03-06T23:50:00Z</dcterms:created>
  <dcterms:modified xsi:type="dcterms:W3CDTF">2026-03-06T23:50:00Z</dcterms:modified>
</cp:coreProperties>
</file>